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45" w:rsidRPr="00BC2C78" w:rsidRDefault="001C6245" w:rsidP="001C6245">
      <w:pPr>
        <w:tabs>
          <w:tab w:val="left" w:pos="7290"/>
        </w:tabs>
        <w:jc w:val="center"/>
        <w:rPr>
          <w:rFonts w:ascii="Arial" w:eastAsia="Calibri" w:hAnsi="Arial" w:cs="Arial"/>
          <w:noProof/>
          <w:sz w:val="24"/>
          <w:szCs w:val="24"/>
        </w:rPr>
      </w:pPr>
      <w:r w:rsidRPr="00BC2C78">
        <w:rPr>
          <w:rFonts w:ascii="Arial" w:eastAsia="Calibri" w:hAnsi="Arial" w:cs="Arial"/>
          <w:noProof/>
          <w:sz w:val="24"/>
          <w:szCs w:val="24"/>
        </w:rPr>
        <w:t>Шагналд уламжлах тухай</w:t>
      </w:r>
    </w:p>
    <w:p w:rsidR="001C6245" w:rsidRDefault="001C6245" w:rsidP="001C6245">
      <w:pPr>
        <w:tabs>
          <w:tab w:val="left" w:pos="7290"/>
        </w:tabs>
        <w:spacing w:after="0"/>
        <w:ind w:firstLine="720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1C6245" w:rsidRPr="00BC2C78" w:rsidRDefault="001C6245" w:rsidP="001C6245">
      <w:pPr>
        <w:tabs>
          <w:tab w:val="left" w:pos="7290"/>
        </w:tabs>
        <w:ind w:firstLine="720"/>
        <w:jc w:val="both"/>
        <w:rPr>
          <w:rFonts w:ascii="Arial" w:eastAsia="Calibri" w:hAnsi="Arial" w:cs="Arial"/>
          <w:noProof/>
          <w:sz w:val="24"/>
          <w:szCs w:val="24"/>
        </w:rPr>
      </w:pPr>
      <w:r w:rsidRPr="00BC2C78">
        <w:rPr>
          <w:rFonts w:ascii="Arial" w:eastAsia="Calibri" w:hAnsi="Arial" w:cs="Arial"/>
          <w:noProof/>
          <w:sz w:val="24"/>
          <w:szCs w:val="24"/>
        </w:rPr>
        <w:t xml:space="preserve">Монгол Улсын Засаг захиргаа нутаг дэвсгэрийн нэгж, түүний удирдлагын тухай хуулийн 20 дугаар зүйлийн 20.1.8 дахь заалт, </w:t>
      </w:r>
      <w:r w:rsidRPr="00A83501">
        <w:rPr>
          <w:rFonts w:ascii="Arial" w:hAnsi="Arial" w:cs="Arial"/>
          <w:noProof/>
          <w:sz w:val="24"/>
          <w:szCs w:val="24"/>
        </w:rPr>
        <w:t>25 дугаар зүйлийн 25.1 дэх хэс</w:t>
      </w:r>
      <w:r>
        <w:rPr>
          <w:rFonts w:ascii="Arial" w:hAnsi="Arial" w:cs="Arial"/>
          <w:noProof/>
          <w:sz w:val="24"/>
          <w:szCs w:val="24"/>
        </w:rPr>
        <w:t xml:space="preserve">эг, </w:t>
      </w:r>
      <w:r>
        <w:rPr>
          <w:rFonts w:ascii="Arial" w:eastAsia="Calibri" w:hAnsi="Arial" w:cs="Arial"/>
          <w:noProof/>
          <w:sz w:val="24"/>
          <w:szCs w:val="24"/>
        </w:rPr>
        <w:t>Ерөнхийлөгчийн 1999 оны 71 дүгээр зарлиг</w:t>
      </w:r>
      <w:r w:rsidRPr="00BC2C78">
        <w:rPr>
          <w:rFonts w:ascii="Arial" w:eastAsia="Calibri" w:hAnsi="Arial" w:cs="Arial"/>
          <w:noProof/>
          <w:sz w:val="24"/>
          <w:szCs w:val="24"/>
        </w:rPr>
        <w:t xml:space="preserve"> “Монгол Улсын цол хүртээх, одон медалиар шагнах журам”-ыг тус тус үндэслэн ТОГТООХ нь:</w:t>
      </w:r>
      <w:r w:rsidRPr="00BC2C78">
        <w:rPr>
          <w:rFonts w:ascii="Arial" w:eastAsia="Calibri" w:hAnsi="Arial" w:cs="Arial"/>
          <w:noProof/>
          <w:sz w:val="24"/>
          <w:szCs w:val="24"/>
        </w:rPr>
        <w:tab/>
      </w:r>
    </w:p>
    <w:p w:rsidR="001C6245" w:rsidRPr="00DB3083" w:rsidRDefault="001C6245" w:rsidP="001C6245">
      <w:pPr>
        <w:tabs>
          <w:tab w:val="left" w:pos="3544"/>
          <w:tab w:val="left" w:pos="4678"/>
          <w:tab w:val="left" w:pos="7290"/>
        </w:tabs>
        <w:ind w:firstLine="720"/>
        <w:jc w:val="both"/>
        <w:rPr>
          <w:rFonts w:ascii="Arial" w:eastAsia="Calibri" w:hAnsi="Arial" w:cs="Arial"/>
          <w:noProof/>
          <w:sz w:val="24"/>
          <w:szCs w:val="24"/>
          <w:lang w:val="en-US"/>
        </w:rPr>
      </w:pPr>
      <w:r w:rsidRPr="00BC2C78">
        <w:rPr>
          <w:rFonts w:ascii="Arial" w:eastAsia="Calibri" w:hAnsi="Arial" w:cs="Arial"/>
          <w:noProof/>
          <w:sz w:val="24"/>
          <w:szCs w:val="24"/>
        </w:rPr>
        <w:t>1. Улсад олон жил үр бүтээлтэй ажиллаж байгаа зарим хүмүүсийн хөдөлмөр бүтээлийг үнэлж</w:t>
      </w:r>
      <w:r>
        <w:rPr>
          <w:rFonts w:ascii="Arial" w:eastAsia="Calibri" w:hAnsi="Arial" w:cs="Arial"/>
          <w:noProof/>
          <w:sz w:val="24"/>
          <w:szCs w:val="24"/>
        </w:rPr>
        <w:t xml:space="preserve">, Төрийн дээд шагнал, цол, </w:t>
      </w:r>
      <w:r w:rsidRPr="00BC2C78">
        <w:rPr>
          <w:rFonts w:ascii="Arial" w:eastAsia="Calibri" w:hAnsi="Arial" w:cs="Arial"/>
          <w:noProof/>
          <w:sz w:val="24"/>
          <w:szCs w:val="24"/>
        </w:rPr>
        <w:t>одон медалиар шагнуулахаар тодорхойлсон байгууллага, хамт олны саналыг дэмжиж, Нийслэлийн Иргэдийн Төлөөлөгчдийн Хурлын Тэргүүлэгчдэд уламжилсугай. Үүнд:</w:t>
      </w:r>
    </w:p>
    <w:tbl>
      <w:tblPr>
        <w:tblW w:w="9218" w:type="dxa"/>
        <w:tblInd w:w="133" w:type="dxa"/>
        <w:tblLook w:val="04A0" w:firstRow="1" w:lastRow="0" w:firstColumn="1" w:lastColumn="0" w:noHBand="0" w:noVBand="1"/>
      </w:tblPr>
      <w:tblGrid>
        <w:gridCol w:w="718"/>
        <w:gridCol w:w="3539"/>
        <w:gridCol w:w="4961"/>
      </w:tblGrid>
      <w:tr w:rsidR="001C6245" w:rsidRPr="00BC2C78" w:rsidTr="00B778CB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1C6245" w:rsidRPr="00920D15" w:rsidRDefault="001C6245" w:rsidP="00B778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“</w:t>
            </w:r>
            <w:r w:rsidRPr="00BC2C78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ХӨДӨЛМӨРИЙН ГАВЬЯАНЫ УЛААН ТУГИЙН ОДОН</w:t>
            </w: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”</w:t>
            </w:r>
            <w:r w:rsidRPr="00BC2C78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-ООР:</w:t>
            </w: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Pr="00BC2C78" w:rsidRDefault="001C6245" w:rsidP="00B778CB">
            <w:pPr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Pr="006122B4" w:rsidRDefault="001C6245" w:rsidP="00B778C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Батаагийн Байгалмаа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Чингэлтэй дүүргийн 4 дүгээр хорооны иргэн</w:t>
            </w:r>
          </w:p>
          <w:p w:rsidR="001C6245" w:rsidRPr="00920D1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Сайзмаагийн Буянаа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дугаар хорооны ахмад настан</w:t>
            </w:r>
          </w:p>
          <w:p w:rsidR="001C624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Суйдааны Гангаамаа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дугаар хорооны ахмад настан</w:t>
            </w:r>
          </w:p>
          <w:p w:rsidR="001C624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Гонгорын Норжинлхам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дугаар хорооны ахмад настан</w:t>
            </w:r>
          </w:p>
          <w:p w:rsidR="001C624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Жамбалгаравын Чулуундорж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19 дүгээр хорооны ахмад настан</w:t>
            </w:r>
          </w:p>
          <w:p w:rsidR="001C6245" w:rsidRDefault="001C6245" w:rsidP="00B778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1C6245" w:rsidRPr="00920D15" w:rsidRDefault="001C6245" w:rsidP="00B77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C78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“АЛТАН ГАДАС ОДОН”-ООР</w:t>
            </w: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Pr="00BC2C78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BC2C7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Магваны Ариунаа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Чингэлтэй дүүргийн 4 дүгээр хорооны иргэн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Pr="00BC2C78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Төмөрийн Баасан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дугаар хорооны ахмад настан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Pr="00BC2C78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Шумаагийн Гончигсүрэн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19 дүгээр хорооны ахмад настан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Шаравдорж Дашиймаа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Чингэлтэй дүүргийн 4 дүгээр хорооны Ахмадын зөвлөлийн дарга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Дашгомбын Төмөртулга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дугаар хорооны ахмад настан</w:t>
            </w:r>
          </w:p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Pr="00BC2C78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Дагвагийн Цогтбилэг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19 дүгээр хорооны ахмад настан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Бизъяагийн Чулуундаваа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дугаар хорооны ахмад настан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1C6245" w:rsidRPr="00BD449B" w:rsidRDefault="001C6245" w:rsidP="00B77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49B">
              <w:rPr>
                <w:rFonts w:ascii="Arial" w:hAnsi="Arial" w:cs="Arial"/>
                <w:b/>
                <w:bCs/>
                <w:sz w:val="24"/>
                <w:szCs w:val="24"/>
              </w:rPr>
              <w:t>“ЦЭРГИЙН ГАВЬЯАНЫ ОДОН”-ООР:</w:t>
            </w: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Бямбаагийн Баттулга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19 дүгээр хорооны ахмад настан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1C6245" w:rsidRPr="00920D15" w:rsidRDefault="001C6245" w:rsidP="00B77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“ХӨДӨЛМӨРИЙН ХҮНДЭТ МЕДИАЛ”-ИАР</w:t>
            </w: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Чимэдийн Буянжаргал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дугаар хорооны иргэн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555F">
              <w:rPr>
                <w:rFonts w:ascii="Arial" w:hAnsi="Arial" w:cs="Arial"/>
                <w:color w:val="000000"/>
                <w:sz w:val="24"/>
                <w:szCs w:val="24"/>
              </w:rPr>
              <w:t>Доржсүрэнгийн Нямдаваа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Pr="0025555F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5F">
              <w:rPr>
                <w:rFonts w:ascii="Arial" w:hAnsi="Arial" w:cs="Arial"/>
                <w:sz w:val="24"/>
                <w:szCs w:val="24"/>
              </w:rPr>
              <w:t>Чингэлтэй дүүргийн Эрүүл мэндийн төвийн Хүний нөөцийн албаны дарга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Pr="0025555F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555F">
              <w:rPr>
                <w:rFonts w:ascii="Arial" w:hAnsi="Arial" w:cs="Arial"/>
                <w:color w:val="000000"/>
                <w:sz w:val="24"/>
                <w:szCs w:val="24"/>
              </w:rPr>
              <w:t>Лувсанцэрэнгийн Уяахүү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Pr="0025555F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5F">
              <w:rPr>
                <w:rFonts w:ascii="Arial" w:hAnsi="Arial" w:cs="Arial"/>
                <w:sz w:val="24"/>
                <w:szCs w:val="24"/>
              </w:rPr>
              <w:t>Чингэлтэй дүүргийн Эрүүл мэндийн төвийн Чанарын албаны дарга</w:t>
            </w:r>
          </w:p>
          <w:p w:rsidR="001C6245" w:rsidRPr="0025555F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Намжилцэндийн Хишигсүрэн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дугаар хорооны ахмад настан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245" w:rsidRPr="00BC2C78" w:rsidTr="00B778CB">
        <w:trPr>
          <w:trHeight w:val="476"/>
        </w:trPr>
        <w:tc>
          <w:tcPr>
            <w:tcW w:w="718" w:type="dxa"/>
            <w:shd w:val="clear" w:color="auto" w:fill="auto"/>
          </w:tcPr>
          <w:p w:rsidR="001C6245" w:rsidRDefault="001C6245" w:rsidP="00B778CB">
            <w:p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39" w:type="dxa"/>
            <w:shd w:val="clear" w:color="auto" w:fill="FFFFFF" w:themeFill="background1"/>
          </w:tcPr>
          <w:p w:rsidR="001C6245" w:rsidRDefault="001C6245" w:rsidP="00B778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Самбуугийн Чулуун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24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15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ингэлтэй дүүргийн</w:t>
            </w:r>
            <w:r w:rsidRPr="00920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дугаар хорооны ахмад настан</w:t>
            </w:r>
          </w:p>
          <w:p w:rsidR="001C6245" w:rsidRPr="00920D15" w:rsidRDefault="001C6245" w:rsidP="00B778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6245" w:rsidRDefault="001C6245" w:rsidP="001C6245"/>
    <w:p w:rsidR="001C6245" w:rsidRDefault="001C6245" w:rsidP="001C6245"/>
    <w:p w:rsidR="001C6245" w:rsidRPr="00891B5F" w:rsidRDefault="001C6245" w:rsidP="001C6245">
      <w:pPr>
        <w:jc w:val="center"/>
        <w:rPr>
          <w:rFonts w:ascii="Arial" w:hAnsi="Arial" w:cs="Arial"/>
          <w:sz w:val="24"/>
          <w:szCs w:val="24"/>
        </w:rPr>
      </w:pPr>
      <w:r w:rsidRPr="00891B5F">
        <w:rPr>
          <w:rFonts w:ascii="Arial" w:hAnsi="Arial" w:cs="Arial"/>
          <w:sz w:val="24"/>
          <w:szCs w:val="24"/>
        </w:rPr>
        <w:t xml:space="preserve">ДАРГА                                              </w:t>
      </w:r>
      <w:r>
        <w:rPr>
          <w:rFonts w:ascii="Arial" w:hAnsi="Arial" w:cs="Arial"/>
          <w:sz w:val="24"/>
          <w:szCs w:val="24"/>
        </w:rPr>
        <w:t>Б.МӨНХБАТ</w:t>
      </w:r>
    </w:p>
    <w:p w:rsidR="001C6245" w:rsidRDefault="001C6245" w:rsidP="001C6245"/>
    <w:p w:rsidR="00640F2D" w:rsidRDefault="00640F2D">
      <w:bookmarkStart w:id="0" w:name="_GoBack"/>
      <w:bookmarkEnd w:id="0"/>
    </w:p>
    <w:sectPr w:rsidR="00640F2D" w:rsidSect="0041155C">
      <w:pgSz w:w="11907" w:h="16840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45"/>
    <w:rsid w:val="000E4F37"/>
    <w:rsid w:val="001B26BF"/>
    <w:rsid w:val="001C6245"/>
    <w:rsid w:val="00277E92"/>
    <w:rsid w:val="002B5A6E"/>
    <w:rsid w:val="002D1D62"/>
    <w:rsid w:val="003256EF"/>
    <w:rsid w:val="00407036"/>
    <w:rsid w:val="0041155C"/>
    <w:rsid w:val="004F6A04"/>
    <w:rsid w:val="00640F2D"/>
    <w:rsid w:val="00647882"/>
    <w:rsid w:val="006D7F05"/>
    <w:rsid w:val="006F0EC2"/>
    <w:rsid w:val="007049B2"/>
    <w:rsid w:val="0071228E"/>
    <w:rsid w:val="007B5F67"/>
    <w:rsid w:val="008B0758"/>
    <w:rsid w:val="009317C8"/>
    <w:rsid w:val="009E18C2"/>
    <w:rsid w:val="00AC1B4E"/>
    <w:rsid w:val="00B27A7B"/>
    <w:rsid w:val="00C51362"/>
    <w:rsid w:val="00D56B7A"/>
    <w:rsid w:val="00D602C6"/>
    <w:rsid w:val="00DE305F"/>
    <w:rsid w:val="00E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CF8AA-1564-4E4D-A7A8-9EAF0F58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45"/>
    <w:pPr>
      <w:spacing w:after="200" w:line="276" w:lineRule="auto"/>
    </w:pPr>
    <w:rPr>
      <w:rFonts w:ascii="Calibri" w:eastAsia="Times New Roman" w:hAnsi="Calibri" w:cs="Times New Roman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Altantuya</cp:lastModifiedBy>
  <cp:revision>1</cp:revision>
  <dcterms:created xsi:type="dcterms:W3CDTF">2021-02-26T07:50:00Z</dcterms:created>
  <dcterms:modified xsi:type="dcterms:W3CDTF">2021-02-26T07:51:00Z</dcterms:modified>
</cp:coreProperties>
</file>